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4A" w:rsidRDefault="0095664A" w:rsidP="0095664A">
      <w:pPr>
        <w:jc w:val="center"/>
        <w:rPr>
          <w:lang w:val="el-GR"/>
        </w:rPr>
      </w:pPr>
    </w:p>
    <w:p w:rsidR="00BF6ABF" w:rsidRPr="00BF6ABF" w:rsidRDefault="00BF6ABF" w:rsidP="00BF6ABF">
      <w:pPr>
        <w:spacing w:after="120"/>
        <w:jc w:val="both"/>
        <w:rPr>
          <w:i/>
          <w:lang w:val="el-GR"/>
        </w:rPr>
      </w:pPr>
      <w:r>
        <w:rPr>
          <w:i/>
          <w:lang w:val="el-GR"/>
        </w:rPr>
        <w:t xml:space="preserve">Το Εθνικό Μετσόβιο Πολυτεχνείο,  το </w:t>
      </w:r>
      <w:r w:rsidRPr="00E75174">
        <w:rPr>
          <w:i/>
          <w:lang w:val="el-GR"/>
        </w:rPr>
        <w:t xml:space="preserve">Πολυτεχνείο Κρήτης και οι Πολυτεχνικές Σχολές της χώρας, κατόπιν συνεννόησης των Πρυτάνεων και των Κοσμητόρων τους, προσκαλούν </w:t>
      </w:r>
      <w:r>
        <w:rPr>
          <w:i/>
          <w:lang w:val="el-GR"/>
        </w:rPr>
        <w:t>τα μέλη των</w:t>
      </w:r>
      <w:r w:rsidRPr="00E75174">
        <w:rPr>
          <w:i/>
          <w:lang w:val="el-GR"/>
        </w:rPr>
        <w:t xml:space="preserve"> αντί</w:t>
      </w:r>
      <w:r>
        <w:rPr>
          <w:i/>
          <w:lang w:val="el-GR"/>
        </w:rPr>
        <w:t>στοιχων</w:t>
      </w:r>
      <w:r w:rsidRPr="00E75174">
        <w:rPr>
          <w:i/>
          <w:lang w:val="el-GR"/>
        </w:rPr>
        <w:t xml:space="preserve"> κοιν</w:t>
      </w:r>
      <w:r>
        <w:rPr>
          <w:i/>
          <w:lang w:val="el-GR"/>
        </w:rPr>
        <w:t>οτήτων να παρακολουθήσουν την ακόλουθη ομιλία, που διοργανώνεται με πρωτοβουλία του ΕΜΠ</w:t>
      </w:r>
    </w:p>
    <w:p w:rsidR="00BF6ABF" w:rsidRPr="00BF6ABF" w:rsidRDefault="00BF6ABF" w:rsidP="0095664A">
      <w:pPr>
        <w:jc w:val="center"/>
        <w:rPr>
          <w:sz w:val="28"/>
          <w:szCs w:val="28"/>
          <w:lang w:val="el-GR"/>
        </w:rPr>
      </w:pPr>
    </w:p>
    <w:p w:rsidR="0095664A" w:rsidRPr="002E2EBB" w:rsidRDefault="0095664A" w:rsidP="0095664A">
      <w:pPr>
        <w:jc w:val="center"/>
        <w:rPr>
          <w:sz w:val="28"/>
          <w:szCs w:val="28"/>
          <w:lang w:val="el-GR"/>
        </w:rPr>
      </w:pPr>
      <w:r w:rsidRPr="0095664A">
        <w:rPr>
          <w:sz w:val="28"/>
          <w:szCs w:val="28"/>
          <w:lang w:val="el-GR"/>
        </w:rPr>
        <w:t>Διαδικτυακή Ομιλία</w:t>
      </w:r>
      <w:r w:rsidR="00E75174" w:rsidRPr="002E2EBB">
        <w:rPr>
          <w:sz w:val="28"/>
          <w:szCs w:val="28"/>
          <w:lang w:val="el-GR"/>
        </w:rPr>
        <w:t xml:space="preserve"> - </w:t>
      </w:r>
      <w:r w:rsidR="00E75174">
        <w:rPr>
          <w:sz w:val="28"/>
          <w:szCs w:val="28"/>
        </w:rPr>
        <w:t>Webinar</w:t>
      </w:r>
    </w:p>
    <w:p w:rsidR="0095664A" w:rsidRPr="002E2EBB" w:rsidRDefault="0095664A" w:rsidP="0095664A">
      <w:pPr>
        <w:jc w:val="center"/>
        <w:rPr>
          <w:b/>
          <w:sz w:val="24"/>
          <w:szCs w:val="24"/>
        </w:rPr>
      </w:pPr>
      <w:r w:rsidRPr="002E2EBB">
        <w:rPr>
          <w:b/>
          <w:sz w:val="24"/>
          <w:szCs w:val="24"/>
        </w:rPr>
        <w:t>Engineering a Better World for All Humanity</w:t>
      </w:r>
    </w:p>
    <w:p w:rsidR="002E2EBB" w:rsidRPr="00467089" w:rsidRDefault="002E2EBB" w:rsidP="0095664A">
      <w:pPr>
        <w:jc w:val="center"/>
        <w:rPr>
          <w:b/>
        </w:rPr>
      </w:pPr>
      <w:r>
        <w:rPr>
          <w:b/>
          <w:noProof/>
        </w:rPr>
        <w:drawing>
          <wp:inline distT="0" distB="0" distL="0" distR="0">
            <wp:extent cx="1367790" cy="1367790"/>
            <wp:effectExtent l="19050" t="0" r="3810" b="0"/>
            <wp:docPr id="1" name="Picture 0" descr="yort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tsos.jpg"/>
                    <pic:cNvPicPr/>
                  </pic:nvPicPr>
                  <pic:blipFill>
                    <a:blip r:embed="rId5" cstate="print"/>
                    <a:stretch>
                      <a:fillRect/>
                    </a:stretch>
                  </pic:blipFill>
                  <pic:spPr>
                    <a:xfrm>
                      <a:off x="0" y="0"/>
                      <a:ext cx="1367790" cy="1367790"/>
                    </a:xfrm>
                    <a:prstGeom prst="rect">
                      <a:avLst/>
                    </a:prstGeom>
                  </pic:spPr>
                </pic:pic>
              </a:graphicData>
            </a:graphic>
          </wp:inline>
        </w:drawing>
      </w:r>
    </w:p>
    <w:p w:rsidR="0095664A" w:rsidRDefault="006B1A14" w:rsidP="0095664A">
      <w:pPr>
        <w:jc w:val="center"/>
      </w:pPr>
      <w:hyperlink r:id="rId6" w:history="1">
        <w:r w:rsidR="0095664A" w:rsidRPr="0095664A">
          <w:rPr>
            <w:rStyle w:val="Hyperlink"/>
          </w:rPr>
          <w:t xml:space="preserve">Yannis C. </w:t>
        </w:r>
        <w:proofErr w:type="spellStart"/>
        <w:r w:rsidR="0095664A" w:rsidRPr="0095664A">
          <w:rPr>
            <w:rStyle w:val="Hyperlink"/>
          </w:rPr>
          <w:t>Yortsos</w:t>
        </w:r>
        <w:proofErr w:type="spellEnd"/>
      </w:hyperlink>
      <w:r w:rsidR="00FD6FEA">
        <w:t>*</w:t>
      </w:r>
    </w:p>
    <w:p w:rsidR="0095664A" w:rsidRDefault="0095664A" w:rsidP="0095664A">
      <w:pPr>
        <w:spacing w:after="0" w:line="240" w:lineRule="auto"/>
        <w:jc w:val="center"/>
      </w:pPr>
      <w:r>
        <w:t xml:space="preserve">Dean, </w:t>
      </w:r>
      <w:proofErr w:type="spellStart"/>
      <w:r>
        <w:t>Viterbi</w:t>
      </w:r>
      <w:proofErr w:type="spellEnd"/>
      <w:r>
        <w:t xml:space="preserve"> School of Engineering</w:t>
      </w:r>
    </w:p>
    <w:p w:rsidR="0095664A" w:rsidRDefault="0095664A" w:rsidP="0095664A">
      <w:pPr>
        <w:spacing w:after="0" w:line="240" w:lineRule="auto"/>
        <w:jc w:val="center"/>
      </w:pPr>
      <w:r>
        <w:t>University of Southern California, USA</w:t>
      </w:r>
    </w:p>
    <w:p w:rsidR="0095664A" w:rsidRDefault="0095664A" w:rsidP="0095664A">
      <w:pPr>
        <w:spacing w:after="0" w:line="240" w:lineRule="auto"/>
        <w:jc w:val="center"/>
      </w:pPr>
    </w:p>
    <w:p w:rsidR="0095664A" w:rsidRPr="002E2EBB" w:rsidRDefault="0095664A" w:rsidP="009B1969">
      <w:pPr>
        <w:jc w:val="center"/>
        <w:rPr>
          <w:b/>
        </w:rPr>
      </w:pPr>
      <w:r w:rsidRPr="009B1969">
        <w:rPr>
          <w:b/>
          <w:lang w:val="el-GR"/>
        </w:rPr>
        <w:t>Δευτέρα</w:t>
      </w:r>
      <w:r w:rsidRPr="002E2EBB">
        <w:rPr>
          <w:b/>
        </w:rPr>
        <w:t>,</w:t>
      </w:r>
      <w:r w:rsidR="009B1969" w:rsidRPr="002E2EBB">
        <w:rPr>
          <w:b/>
        </w:rPr>
        <w:t xml:space="preserve"> 14 </w:t>
      </w:r>
      <w:r w:rsidR="009B1969" w:rsidRPr="009B1969">
        <w:rPr>
          <w:b/>
          <w:lang w:val="el-GR"/>
        </w:rPr>
        <w:t>Φεβρουαρίου</w:t>
      </w:r>
      <w:r w:rsidR="009B1969" w:rsidRPr="002E2EBB">
        <w:rPr>
          <w:b/>
        </w:rPr>
        <w:t xml:space="preserve"> 2022, </w:t>
      </w:r>
      <w:r w:rsidR="009B1969" w:rsidRPr="009B1969">
        <w:rPr>
          <w:b/>
        </w:rPr>
        <w:t xml:space="preserve">5.00 </w:t>
      </w:r>
      <w:r w:rsidR="009B1969" w:rsidRPr="009B1969">
        <w:rPr>
          <w:b/>
          <w:lang w:val="el-GR"/>
        </w:rPr>
        <w:t>μμ</w:t>
      </w:r>
    </w:p>
    <w:p w:rsidR="00BF6ABF" w:rsidRDefault="00BF6ABF" w:rsidP="00E75174">
      <w:pPr>
        <w:pStyle w:val="NormalWeb"/>
        <w:spacing w:before="0" w:beforeAutospacing="0" w:after="0" w:afterAutospacing="0"/>
        <w:rPr>
          <w:rFonts w:asciiTheme="minorHAnsi" w:hAnsiTheme="minorHAnsi" w:cstheme="minorHAnsi"/>
          <w:b/>
          <w:sz w:val="22"/>
          <w:szCs w:val="22"/>
          <w:lang w:val="el-GR"/>
        </w:rPr>
      </w:pPr>
    </w:p>
    <w:p w:rsidR="00E75174" w:rsidRPr="00E75174" w:rsidRDefault="00E75174" w:rsidP="00E75174">
      <w:pPr>
        <w:pStyle w:val="NormalWeb"/>
        <w:spacing w:before="0" w:beforeAutospacing="0" w:after="0" w:afterAutospacing="0"/>
        <w:rPr>
          <w:rFonts w:asciiTheme="minorHAnsi" w:hAnsiTheme="minorHAnsi" w:cstheme="minorHAnsi"/>
          <w:sz w:val="22"/>
          <w:szCs w:val="22"/>
        </w:rPr>
      </w:pPr>
      <w:proofErr w:type="gramStart"/>
      <w:r w:rsidRPr="00E75174">
        <w:rPr>
          <w:rFonts w:asciiTheme="minorHAnsi" w:hAnsiTheme="minorHAnsi" w:cstheme="minorHAnsi"/>
          <w:b/>
          <w:sz w:val="22"/>
          <w:szCs w:val="22"/>
        </w:rPr>
        <w:t>Zoom</w:t>
      </w:r>
      <w:proofErr w:type="gramEnd"/>
      <w:r w:rsidRPr="00E75174">
        <w:rPr>
          <w:rFonts w:asciiTheme="minorHAnsi" w:hAnsiTheme="minorHAnsi" w:cstheme="minorHAnsi"/>
          <w:b/>
          <w:sz w:val="22"/>
          <w:szCs w:val="22"/>
        </w:rPr>
        <w:t xml:space="preserve"> Webinar</w:t>
      </w:r>
      <w:r w:rsidRPr="00E75174">
        <w:rPr>
          <w:rFonts w:asciiTheme="minorHAnsi" w:hAnsiTheme="minorHAnsi" w:cstheme="minorHAnsi"/>
          <w:sz w:val="22"/>
          <w:szCs w:val="22"/>
        </w:rPr>
        <w:t xml:space="preserve">: </w:t>
      </w:r>
      <w:hyperlink r:id="rId7" w:history="1">
        <w:r w:rsidRPr="00E75174">
          <w:rPr>
            <w:rStyle w:val="Hyperlink"/>
            <w:rFonts w:asciiTheme="minorHAnsi" w:hAnsiTheme="minorHAnsi" w:cstheme="minorHAnsi"/>
            <w:sz w:val="22"/>
            <w:szCs w:val="22"/>
          </w:rPr>
          <w:t>https://grnet.zoom.us/j/65674249982</w:t>
        </w:r>
      </w:hyperlink>
    </w:p>
    <w:p w:rsidR="00E75174" w:rsidRPr="002E2EBB" w:rsidRDefault="00E75174" w:rsidP="00E75174">
      <w:pPr>
        <w:pStyle w:val="NormalWeb"/>
        <w:spacing w:before="0" w:beforeAutospacing="0" w:after="0" w:afterAutospacing="0"/>
        <w:rPr>
          <w:rFonts w:asciiTheme="minorHAnsi" w:hAnsiTheme="minorHAnsi" w:cstheme="minorHAnsi"/>
          <w:sz w:val="22"/>
          <w:szCs w:val="22"/>
        </w:rPr>
      </w:pPr>
      <w:r w:rsidRPr="00E75174">
        <w:rPr>
          <w:rFonts w:asciiTheme="minorHAnsi" w:hAnsiTheme="minorHAnsi" w:cstheme="minorHAnsi"/>
          <w:b/>
          <w:sz w:val="22"/>
          <w:szCs w:val="22"/>
        </w:rPr>
        <w:t xml:space="preserve">NTUA </w:t>
      </w:r>
      <w:proofErr w:type="spellStart"/>
      <w:r w:rsidRPr="00E75174">
        <w:rPr>
          <w:rFonts w:asciiTheme="minorHAnsi" w:hAnsiTheme="minorHAnsi" w:cstheme="minorHAnsi"/>
          <w:b/>
          <w:sz w:val="22"/>
          <w:szCs w:val="22"/>
        </w:rPr>
        <w:t>youtube</w:t>
      </w:r>
      <w:proofErr w:type="spellEnd"/>
      <w:r w:rsidRPr="00E75174">
        <w:rPr>
          <w:rFonts w:asciiTheme="minorHAnsi" w:hAnsiTheme="minorHAnsi" w:cstheme="minorHAnsi"/>
          <w:b/>
          <w:sz w:val="22"/>
          <w:szCs w:val="22"/>
        </w:rPr>
        <w:t xml:space="preserve"> channel</w:t>
      </w:r>
      <w:r w:rsidRPr="00E75174">
        <w:rPr>
          <w:rFonts w:asciiTheme="minorHAnsi" w:hAnsiTheme="minorHAnsi" w:cstheme="minorHAnsi"/>
          <w:sz w:val="22"/>
          <w:szCs w:val="22"/>
        </w:rPr>
        <w:t xml:space="preserve">: </w:t>
      </w:r>
      <w:hyperlink r:id="rId8" w:history="1">
        <w:r w:rsidRPr="00E75174">
          <w:rPr>
            <w:rStyle w:val="Hyperlink"/>
            <w:rFonts w:asciiTheme="minorHAnsi" w:hAnsiTheme="minorHAnsi" w:cstheme="minorHAnsi"/>
            <w:sz w:val="22"/>
            <w:szCs w:val="22"/>
          </w:rPr>
          <w:t>https://www.youtube.com/channel/UC-L-24Fk5qakf_TxDadKH8g</w:t>
        </w:r>
      </w:hyperlink>
      <w:r w:rsidR="009B1969" w:rsidRPr="009B1969">
        <w:rPr>
          <w:rFonts w:asciiTheme="minorHAnsi" w:hAnsiTheme="minorHAnsi" w:cstheme="minorHAnsi"/>
          <w:sz w:val="22"/>
          <w:szCs w:val="22"/>
        </w:rPr>
        <w:t xml:space="preserve"> (</w:t>
      </w:r>
      <w:r w:rsidR="009B1969">
        <w:rPr>
          <w:rFonts w:asciiTheme="minorHAnsi" w:hAnsiTheme="minorHAnsi" w:cstheme="minorHAnsi"/>
          <w:sz w:val="22"/>
          <w:szCs w:val="22"/>
        </w:rPr>
        <w:t>live)</w:t>
      </w:r>
    </w:p>
    <w:p w:rsidR="00FD6FEA" w:rsidRDefault="00FD6FEA" w:rsidP="00FD6FEA">
      <w:pPr>
        <w:spacing w:after="120" w:line="240" w:lineRule="auto"/>
        <w:jc w:val="both"/>
        <w:rPr>
          <w:b/>
          <w:sz w:val="20"/>
          <w:szCs w:val="20"/>
        </w:rPr>
      </w:pPr>
    </w:p>
    <w:p w:rsidR="0095664A" w:rsidRPr="00FD6FEA" w:rsidRDefault="00E75174" w:rsidP="00E75174">
      <w:pPr>
        <w:spacing w:after="120"/>
        <w:jc w:val="both"/>
        <w:rPr>
          <w:sz w:val="20"/>
          <w:szCs w:val="20"/>
        </w:rPr>
      </w:pPr>
      <w:r w:rsidRPr="00FD6FEA">
        <w:rPr>
          <w:b/>
          <w:sz w:val="20"/>
          <w:szCs w:val="20"/>
        </w:rPr>
        <w:t>Abstract</w:t>
      </w:r>
      <w:r w:rsidRPr="00FD6FEA">
        <w:rPr>
          <w:sz w:val="20"/>
          <w:szCs w:val="20"/>
        </w:rPr>
        <w:t xml:space="preserve">: </w:t>
      </w:r>
      <w:r w:rsidR="0095664A" w:rsidRPr="00FD6FEA">
        <w:rPr>
          <w:sz w:val="20"/>
          <w:szCs w:val="20"/>
        </w:rPr>
        <w:t xml:space="preserve">Engineering and technology are driving discovery and innovation in practically all disciplines at an unprecedented pace, one that is certain to accelerate even further with advances in computing of all types, and the increasing relevance of AI and data sciences. Outstanding technical competence is needed to keep driving this transformation - we have termed this as the need to </w:t>
      </w:r>
      <w:r w:rsidR="0095664A" w:rsidRPr="00FD6FEA">
        <w:rPr>
          <w:i/>
          <w:sz w:val="20"/>
          <w:szCs w:val="20"/>
        </w:rPr>
        <w:t>hug the exponential</w:t>
      </w:r>
      <w:r w:rsidR="0095664A" w:rsidRPr="00FD6FEA">
        <w:rPr>
          <w:sz w:val="20"/>
          <w:szCs w:val="20"/>
        </w:rPr>
        <w:t xml:space="preserve">. In the constant and inexorable intertwining of the interface of technology with society, humanity, and the living environment, engineering has become the enabling discipline for solving </w:t>
      </w:r>
      <w:r w:rsidR="0095664A" w:rsidRPr="00FD6FEA">
        <w:rPr>
          <w:i/>
          <w:sz w:val="20"/>
          <w:szCs w:val="20"/>
        </w:rPr>
        <w:t>grand-challenge-like</w:t>
      </w:r>
      <w:r w:rsidR="0095664A" w:rsidRPr="00FD6FEA">
        <w:rPr>
          <w:sz w:val="20"/>
          <w:szCs w:val="20"/>
        </w:rPr>
        <w:t xml:space="preserve"> problems, including increasingly human-centric ones. This </w:t>
      </w:r>
      <w:r w:rsidR="0095664A" w:rsidRPr="00FD6FEA">
        <w:rPr>
          <w:i/>
          <w:sz w:val="20"/>
          <w:szCs w:val="20"/>
        </w:rPr>
        <w:t>engineering +</w:t>
      </w:r>
      <w:r w:rsidR="0095664A" w:rsidRPr="00FD6FEA">
        <w:rPr>
          <w:sz w:val="20"/>
          <w:szCs w:val="20"/>
        </w:rPr>
        <w:t xml:space="preserve"> mindset </w:t>
      </w:r>
      <w:proofErr w:type="gramStart"/>
      <w:r w:rsidR="0095664A" w:rsidRPr="00FD6FEA">
        <w:rPr>
          <w:sz w:val="20"/>
          <w:szCs w:val="20"/>
        </w:rPr>
        <w:t>i</w:t>
      </w:r>
      <w:r w:rsidRPr="00FD6FEA">
        <w:rPr>
          <w:sz w:val="20"/>
          <w:szCs w:val="20"/>
        </w:rPr>
        <w:t>s</w:t>
      </w:r>
      <w:proofErr w:type="gramEnd"/>
      <w:r w:rsidRPr="00FD6FEA">
        <w:rPr>
          <w:sz w:val="20"/>
          <w:szCs w:val="20"/>
        </w:rPr>
        <w:t xml:space="preserve"> </w:t>
      </w:r>
      <w:r w:rsidR="0095664A" w:rsidRPr="00FD6FEA">
        <w:rPr>
          <w:sz w:val="20"/>
          <w:szCs w:val="20"/>
        </w:rPr>
        <w:t xml:space="preserve">permeating a vast variety of disciplines and areas, creating particularly fertile grounds for collaboration and innovation across the sciences, the professions and the arts. </w:t>
      </w:r>
    </w:p>
    <w:p w:rsidR="0095664A" w:rsidRPr="00FD6FEA" w:rsidRDefault="0095664A" w:rsidP="00FD6FEA">
      <w:pPr>
        <w:spacing w:after="120"/>
        <w:jc w:val="both"/>
        <w:rPr>
          <w:sz w:val="20"/>
          <w:szCs w:val="20"/>
        </w:rPr>
      </w:pPr>
      <w:r w:rsidRPr="00FD6FEA">
        <w:rPr>
          <w:sz w:val="20"/>
          <w:szCs w:val="20"/>
        </w:rPr>
        <w:t xml:space="preserve">At the same time, choosing what problems to focus to solve is an ethical decision. This means that as we educate the engineers, innovators and technologists of tomorrow, we should also help them with the building of </w:t>
      </w:r>
      <w:r w:rsidRPr="00FD6FEA">
        <w:rPr>
          <w:i/>
          <w:sz w:val="20"/>
          <w:szCs w:val="20"/>
        </w:rPr>
        <w:t>character</w:t>
      </w:r>
      <w:r w:rsidRPr="00FD6FEA">
        <w:rPr>
          <w:sz w:val="20"/>
          <w:szCs w:val="20"/>
        </w:rPr>
        <w:t xml:space="preserve">, shaped by a deep understanding of the human nature, ethics, and the impact, intended and unintended of engineering and technology to society, humanity and the living environment. In all these endeavors, with deep technological and human dimensions, we need to constantly re-invent, innovate and lead. Together, competence and character spell trust, and the creation of </w:t>
      </w:r>
      <w:r w:rsidRPr="00FD6FEA">
        <w:rPr>
          <w:i/>
          <w:sz w:val="20"/>
          <w:szCs w:val="20"/>
        </w:rPr>
        <w:t>trustworthy engineers</w:t>
      </w:r>
      <w:r w:rsidRPr="00FD6FEA">
        <w:rPr>
          <w:sz w:val="20"/>
          <w:szCs w:val="20"/>
        </w:rPr>
        <w:t xml:space="preserve">, more urgently needed today than ever before.     </w:t>
      </w:r>
    </w:p>
    <w:p w:rsidR="0095664A" w:rsidRPr="00BF6ABF" w:rsidRDefault="0095664A" w:rsidP="00FD6FEA">
      <w:pPr>
        <w:spacing w:after="0"/>
        <w:jc w:val="both"/>
        <w:rPr>
          <w:sz w:val="20"/>
          <w:szCs w:val="20"/>
          <w:lang w:val="el-GR"/>
        </w:rPr>
      </w:pPr>
      <w:r w:rsidRPr="00FD6FEA">
        <w:rPr>
          <w:sz w:val="20"/>
          <w:szCs w:val="20"/>
        </w:rPr>
        <w:t xml:space="preserve">This webinar addresses key, salient features of these ideas and their relevance to engineering education and research. In particular it focuses on the development of the associated mindsets for our undergraduate engineering students, as articulated in the </w:t>
      </w:r>
      <w:r w:rsidRPr="00FD6FEA">
        <w:rPr>
          <w:i/>
          <w:sz w:val="20"/>
          <w:szCs w:val="20"/>
        </w:rPr>
        <w:t>Grand Challenges Scholars Program</w:t>
      </w:r>
      <w:r w:rsidRPr="00FD6FEA">
        <w:rPr>
          <w:sz w:val="20"/>
          <w:szCs w:val="20"/>
        </w:rPr>
        <w:t xml:space="preserve">, which aims at the creation of such engineering graduates.  </w:t>
      </w:r>
      <w:bookmarkStart w:id="0" w:name="_GoBack"/>
      <w:bookmarkEnd w:id="0"/>
    </w:p>
    <w:p w:rsidR="00FD6FEA" w:rsidRPr="00FD6FEA" w:rsidRDefault="00FD6FEA" w:rsidP="002E2EBB">
      <w:pPr>
        <w:spacing w:after="120"/>
        <w:jc w:val="both"/>
        <w:rPr>
          <w:sz w:val="18"/>
          <w:szCs w:val="18"/>
        </w:rPr>
      </w:pPr>
    </w:p>
    <w:p w:rsidR="00D0240C" w:rsidRPr="00FD6FEA" w:rsidRDefault="00FD6FEA" w:rsidP="00FD6FEA">
      <w:pPr>
        <w:pStyle w:val="PlainText"/>
        <w:jc w:val="both"/>
        <w:rPr>
          <w:rFonts w:asciiTheme="minorHAnsi" w:hAnsiTheme="minorHAnsi" w:cstheme="minorHAnsi"/>
          <w:sz w:val="20"/>
          <w:szCs w:val="20"/>
        </w:rPr>
      </w:pPr>
      <w:r>
        <w:rPr>
          <w:rFonts w:asciiTheme="minorHAnsi" w:hAnsiTheme="minorHAnsi" w:cstheme="minorHAnsi"/>
          <w:sz w:val="20"/>
          <w:szCs w:val="20"/>
        </w:rPr>
        <w:t xml:space="preserve">* </w:t>
      </w:r>
      <w:r w:rsidRPr="00FD6FEA">
        <w:rPr>
          <w:rFonts w:asciiTheme="minorHAnsi" w:hAnsiTheme="minorHAnsi" w:cstheme="minorHAnsi"/>
          <w:i/>
          <w:sz w:val="20"/>
          <w:szCs w:val="20"/>
        </w:rPr>
        <w:t>Recipient of</w:t>
      </w:r>
      <w:r w:rsidR="00D0240C" w:rsidRPr="00FD6FEA">
        <w:rPr>
          <w:rFonts w:asciiTheme="minorHAnsi" w:hAnsiTheme="minorHAnsi" w:cstheme="minorHAnsi"/>
          <w:i/>
          <w:sz w:val="20"/>
          <w:szCs w:val="20"/>
        </w:rPr>
        <w:t xml:space="preserve"> </w:t>
      </w:r>
      <w:r w:rsidR="00D0240C" w:rsidRPr="00FD6FEA">
        <w:rPr>
          <w:rFonts w:asciiTheme="minorHAnsi" w:hAnsiTheme="minorHAnsi" w:cstheme="minorHAnsi"/>
          <w:b/>
          <w:i/>
          <w:sz w:val="20"/>
          <w:szCs w:val="20"/>
        </w:rPr>
        <w:t>Bernard M. Gordon Prize</w:t>
      </w:r>
      <w:r w:rsidRPr="00FD6FEA">
        <w:rPr>
          <w:rFonts w:asciiTheme="minorHAnsi" w:hAnsiTheme="minorHAnsi" w:cstheme="minorHAnsi"/>
          <w:b/>
          <w:i/>
          <w:sz w:val="20"/>
          <w:szCs w:val="20"/>
        </w:rPr>
        <w:t xml:space="preserve"> 2022</w:t>
      </w:r>
      <w:r w:rsidR="00D0240C" w:rsidRPr="00FD6FEA">
        <w:rPr>
          <w:rFonts w:asciiTheme="minorHAnsi" w:hAnsiTheme="minorHAnsi" w:cstheme="minorHAnsi"/>
          <w:i/>
          <w:sz w:val="20"/>
          <w:szCs w:val="20"/>
        </w:rPr>
        <w:t xml:space="preserve">, </w:t>
      </w:r>
      <w:r w:rsidRPr="00FD6FEA">
        <w:rPr>
          <w:rFonts w:asciiTheme="minorHAnsi" w:hAnsiTheme="minorHAnsi" w:cstheme="minorHAnsi"/>
          <w:i/>
          <w:sz w:val="20"/>
          <w:szCs w:val="20"/>
        </w:rPr>
        <w:t>of the</w:t>
      </w:r>
      <w:r w:rsidR="00D0240C" w:rsidRPr="00FD6FEA">
        <w:rPr>
          <w:rFonts w:asciiTheme="minorHAnsi" w:hAnsiTheme="minorHAnsi" w:cstheme="minorHAnsi"/>
          <w:i/>
          <w:sz w:val="20"/>
          <w:szCs w:val="20"/>
        </w:rPr>
        <w:t xml:space="preserve"> </w:t>
      </w:r>
      <w:r w:rsidRPr="00FD6FEA">
        <w:rPr>
          <w:rFonts w:asciiTheme="minorHAnsi" w:hAnsiTheme="minorHAnsi" w:cstheme="minorHAnsi"/>
          <w:b/>
          <w:i/>
          <w:sz w:val="20"/>
          <w:szCs w:val="20"/>
        </w:rPr>
        <w:t>National</w:t>
      </w:r>
      <w:r w:rsidR="00D0240C" w:rsidRPr="00FD6FEA">
        <w:rPr>
          <w:rFonts w:asciiTheme="minorHAnsi" w:hAnsiTheme="minorHAnsi" w:cstheme="minorHAnsi"/>
          <w:b/>
          <w:i/>
          <w:sz w:val="20"/>
          <w:szCs w:val="20"/>
        </w:rPr>
        <w:t xml:space="preserve"> Academy of Engineering</w:t>
      </w:r>
      <w:r>
        <w:rPr>
          <w:rFonts w:asciiTheme="minorHAnsi" w:hAnsiTheme="minorHAnsi" w:cstheme="minorHAnsi"/>
          <w:i/>
          <w:sz w:val="20"/>
          <w:szCs w:val="20"/>
        </w:rPr>
        <w:t xml:space="preserve"> (NAE)</w:t>
      </w:r>
      <w:r w:rsidR="00D0240C" w:rsidRPr="00FD6FEA">
        <w:rPr>
          <w:rFonts w:asciiTheme="minorHAnsi" w:hAnsiTheme="minorHAnsi" w:cstheme="minorHAnsi"/>
          <w:i/>
          <w:sz w:val="20"/>
          <w:szCs w:val="20"/>
        </w:rPr>
        <w:t>: “…For creating an innovative education program that prepares students to become future engineering leaders who will address the NAE Grand Challenges of Engineering”.</w:t>
      </w:r>
    </w:p>
    <w:sectPr w:rsidR="00D0240C" w:rsidRPr="00FD6FEA" w:rsidSect="00FD6FEA">
      <w:pgSz w:w="12240" w:h="15840"/>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A4C"/>
    <w:multiLevelType w:val="hybridMultilevel"/>
    <w:tmpl w:val="DF8E08CC"/>
    <w:lvl w:ilvl="0" w:tplc="4DE0FC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64A"/>
    <w:rsid w:val="00064D99"/>
    <w:rsid w:val="002E2EBB"/>
    <w:rsid w:val="00365023"/>
    <w:rsid w:val="004049CF"/>
    <w:rsid w:val="004B0356"/>
    <w:rsid w:val="005A10E4"/>
    <w:rsid w:val="006B1A14"/>
    <w:rsid w:val="0095664A"/>
    <w:rsid w:val="009B1969"/>
    <w:rsid w:val="00A30565"/>
    <w:rsid w:val="00BF6ABF"/>
    <w:rsid w:val="00D0240C"/>
    <w:rsid w:val="00E75174"/>
    <w:rsid w:val="00EF555C"/>
    <w:rsid w:val="00FD6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E4"/>
  </w:style>
  <w:style w:type="paragraph" w:styleId="Heading1">
    <w:name w:val="heading 1"/>
    <w:basedOn w:val="Normal"/>
    <w:next w:val="Normal"/>
    <w:link w:val="Heading1Char"/>
    <w:qFormat/>
    <w:rsid w:val="0095664A"/>
    <w:pPr>
      <w:keepNext/>
      <w:spacing w:after="0" w:line="360" w:lineRule="auto"/>
      <w:jc w:val="center"/>
      <w:outlineLvl w:val="0"/>
    </w:pPr>
    <w:rPr>
      <w:rFonts w:ascii="Times New Roman" w:eastAsia="Times New Roman" w:hAnsi="Times New Roman" w:cs="Times New Roman"/>
      <w:b/>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4A"/>
    <w:rPr>
      <w:rFonts w:ascii="Tahoma" w:hAnsi="Tahoma" w:cs="Tahoma"/>
      <w:sz w:val="16"/>
      <w:szCs w:val="16"/>
    </w:rPr>
  </w:style>
  <w:style w:type="character" w:customStyle="1" w:styleId="Heading1Char">
    <w:name w:val="Heading 1 Char"/>
    <w:basedOn w:val="DefaultParagraphFont"/>
    <w:link w:val="Heading1"/>
    <w:rsid w:val="0095664A"/>
    <w:rPr>
      <w:rFonts w:ascii="Times New Roman" w:eastAsia="Times New Roman" w:hAnsi="Times New Roman" w:cs="Times New Roman"/>
      <w:b/>
      <w:szCs w:val="20"/>
      <w:lang w:val="el-GR"/>
    </w:rPr>
  </w:style>
  <w:style w:type="character" w:styleId="Hyperlink">
    <w:name w:val="Hyperlink"/>
    <w:basedOn w:val="DefaultParagraphFont"/>
    <w:uiPriority w:val="99"/>
    <w:unhideWhenUsed/>
    <w:rsid w:val="0095664A"/>
    <w:rPr>
      <w:color w:val="0000FF" w:themeColor="hyperlink"/>
      <w:u w:val="single"/>
    </w:rPr>
  </w:style>
  <w:style w:type="paragraph" w:styleId="NormalWeb">
    <w:name w:val="Normal (Web)"/>
    <w:basedOn w:val="Normal"/>
    <w:uiPriority w:val="99"/>
    <w:unhideWhenUsed/>
    <w:rsid w:val="00E7517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D0240C"/>
    <w:pPr>
      <w:spacing w:after="0" w:line="240" w:lineRule="auto"/>
    </w:pPr>
    <w:rPr>
      <w:rFonts w:ascii="Consolas" w:eastAsia="Times New Roman" w:hAnsi="Consolas" w:cs="Times New Roman"/>
      <w:color w:val="000000" w:themeColor="text1"/>
      <w:sz w:val="21"/>
      <w:szCs w:val="21"/>
    </w:rPr>
  </w:style>
  <w:style w:type="character" w:customStyle="1" w:styleId="PlainTextChar">
    <w:name w:val="Plain Text Char"/>
    <w:basedOn w:val="DefaultParagraphFont"/>
    <w:link w:val="PlainText"/>
    <w:uiPriority w:val="99"/>
    <w:rsid w:val="00D0240C"/>
    <w:rPr>
      <w:rFonts w:ascii="Consolas" w:eastAsia="Times New Roman" w:hAnsi="Consolas" w:cs="Times New Roman"/>
      <w:color w:val="000000" w:themeColor="text1"/>
      <w:sz w:val="21"/>
      <w:szCs w:val="21"/>
    </w:rPr>
  </w:style>
</w:styles>
</file>

<file path=word/webSettings.xml><?xml version="1.0" encoding="utf-8"?>
<w:webSettings xmlns:r="http://schemas.openxmlformats.org/officeDocument/2006/relationships" xmlns:w="http://schemas.openxmlformats.org/wordprocessingml/2006/main">
  <w:divs>
    <w:div w:id="488133643">
      <w:bodyDiv w:val="1"/>
      <w:marLeft w:val="0"/>
      <w:marRight w:val="0"/>
      <w:marTop w:val="0"/>
      <w:marBottom w:val="0"/>
      <w:divBdr>
        <w:top w:val="none" w:sz="0" w:space="0" w:color="auto"/>
        <w:left w:val="none" w:sz="0" w:space="0" w:color="auto"/>
        <w:bottom w:val="none" w:sz="0" w:space="0" w:color="auto"/>
        <w:right w:val="none" w:sz="0" w:space="0" w:color="auto"/>
      </w:divBdr>
    </w:div>
    <w:div w:id="1385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24Fk5qakf_TxDadKH8g" TargetMode="External"/><Relationship Id="rId3" Type="http://schemas.openxmlformats.org/officeDocument/2006/relationships/settings" Target="settings.xml"/><Relationship Id="rId7" Type="http://schemas.openxmlformats.org/officeDocument/2006/relationships/hyperlink" Target="https://grnet.zoom.us/j/65674249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erbi.usc.edu/directory/faculty/Yortsos/Yanni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Boudouvis</dc:creator>
  <cp:lastModifiedBy>Andreas Boudouvis</cp:lastModifiedBy>
  <cp:revision>4</cp:revision>
  <dcterms:created xsi:type="dcterms:W3CDTF">2022-01-27T22:25:00Z</dcterms:created>
  <dcterms:modified xsi:type="dcterms:W3CDTF">2022-01-27T22:58:00Z</dcterms:modified>
</cp:coreProperties>
</file>